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[26]</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w:t>
      </w:r>
      <w:r>
        <w:rPr>
          <w:i/>
          <w:iCs/>
        </w:rPr>
        <w:t xml:space="preserve">physical</w:t>
      </w:r>
      <w:r>
        <w:rPr>
          <w:i/>
          <w:iCs/>
        </w:rPr>
        <w:t xml:space="preserve">’</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using models to either predict the interaction between two species [ref], the structure of networks [ref], or even as a means to identify missing interactions (gap fill) within existing empirical dataset</w:t>
      </w:r>
      <w:r>
        <w:t xml:space="preserve"> </w:t>
      </w:r>
      <w:r>
        <w:t xml:space="preserve">[37,38]</w:t>
      </w:r>
      <w:r>
        <w:t xml:space="preserve">, and so for the purpose of this discussion network construction will be synonymous with using a model as a means to represent or predict a network.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[12,39]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[41]</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42,43]</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
          <w:iCs/>
        </w:rPr>
        <w:t xml:space="preserve">e.g.,</w:t>
      </w:r>
      <w:r>
        <w:t xml:space="preserve"> </w:t>
      </w:r>
      <w:r>
        <w:t xml:space="preserve">18,22,44–49]</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50,51,52]</w:t>
      </w:r>
      <w:r>
        <w:t xml:space="preserve">, as well as the development of model testing/benchmarking tools</w:t>
      </w:r>
      <w:r>
        <w:t xml:space="preserve"> </w:t>
      </w:r>
      <w:r>
        <w:t xml:space="preserve">[53]</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[23,54]</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the feasibility (evolutionary compatibility) between species and rather</w:t>
      </w:r>
      <w:r>
        <w:t xml:space="preserve"> </w:t>
      </w:r>
      <w:r>
        <w:rPr>
          <w:i/>
          <w:iCs/>
        </w:rPr>
        <w:t xml:space="preserve">only</w:t>
      </w:r>
      <w:r>
        <w:t xml:space="preserve"> </w:t>
      </w:r>
      <w:r>
        <w:t xml:space="preserve">accounts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55,56]</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[56,57]</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[58]</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[59]</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[62]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X5481991237a2a9c7b75c6cb1d783f27e57c07cf"/>
    <w:p>
      <w:pPr>
        <w:pStyle w:val="Heading1"/>
      </w:pPr>
      <w:r>
        <w:t xml:space="preserve">4. Making Progress with Networks: Why Definitions matter</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[63]</w:t>
      </w:r>
      <w:r>
        <w:t xml:space="preserve">. This could be addressed either through the development of tools that do both (predict both interactions and structure), or it might be possible to do a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[67]</w:t>
      </w:r>
      <w:r>
        <w:t xml:space="preserve">, and more specifically the potential use un models untangling/identifying the different processes</w:t>
      </w:r>
      <w:r>
        <w:t xml:space="preserve"> </w:t>
      </w:r>
      <w:r>
        <w:t xml:space="preserve">[68]</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[69]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[70]</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[71]</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[72]</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73]</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[53]</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[74–76]</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[77]</w:t>
      </w:r>
      <w:r>
        <w:t xml:space="preserve"> </w:t>
      </w:r>
      <w:r>
        <w:t xml:space="preserve">might have (and share) some thoughts on this. I feel like I need to look at</w:t>
      </w:r>
      <w:r>
        <w:t xml:space="preserve"> </w:t>
      </w:r>
      <w:r>
        <w:t xml:space="preserve">[78]</w:t>
      </w:r>
      <w:r>
        <w:t xml:space="preserve"> </w:t>
      </w:r>
      <w:r>
        <w:t xml:space="preserve">but maybe not exactly in this context but vaguely adjacent. This is sort of the crux of the argument presented in</w:t>
      </w:r>
      <w:r>
        <w:t xml:space="preserve"> </w:t>
      </w:r>
      <w:r>
        <w:t xml:space="preserve">[72]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[79]</w:t>
      </w:r>
      <w:r>
        <w:t xml:space="preserve"> </w:t>
      </w:r>
      <w:r>
        <w:t xml:space="preserve">paper looks at some methods but is specifically looking at a bipartite world…</w:t>
      </w:r>
    </w:p>
    <w:bookmarkEnd w:id="44"/>
    <w:bookmarkStart w:id="200" w:name="references"/>
    <w:p>
      <w:pPr>
        <w:pStyle w:val="Heading1"/>
      </w:pPr>
      <w:r>
        <w:t xml:space="preserve">References</w:t>
      </w:r>
    </w:p>
    <w:bookmarkStart w:id="199"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6" w:name="ref-bitonInductiveLinkPrediction2024"/>
    <w:p>
      <w:pPr>
        <w:pStyle w:val="Bibliography"/>
      </w:pPr>
      <w:r>
        <w:t xml:space="preserve">37.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6"/>
    <w:bookmarkStart w:id="117" w:name="ref-stockPairwiseLearningPredicting2021"/>
    <w:p>
      <w:pPr>
        <w:pStyle w:val="Bibliography"/>
      </w:pPr>
      <w:r>
        <w:t xml:space="preserve">38.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19"/>
    <w:bookmarkStart w:id="121" w:name="ref-dunnSixthMassCoextinction2009"/>
    <w:p>
      <w:pPr>
        <w:pStyle w:val="Bibliography"/>
      </w:pPr>
      <w:r>
        <w:t xml:space="preserve">40.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1"/>
    <w:bookmarkStart w:id="123" w:name="X9a5602d39772ae027b885bf5c9cb3d36ba71c0c"/>
    <w:p>
      <w:pPr>
        <w:pStyle w:val="Bibliography"/>
      </w:pPr>
      <w:r>
        <w:t xml:space="preserve">41.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43.</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45.</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1"/>
    <w:bookmarkStart w:id="133" w:name="ref-llewelynPredictingPredatorPrey2023"/>
    <w:p>
      <w:pPr>
        <w:pStyle w:val="Bibliography"/>
      </w:pPr>
      <w:r>
        <w:t xml:space="preserve">46.</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3"/>
    <w:bookmarkStart w:id="135" w:name="Xbdf894eb48feca28c76080dbbbcbceedf5db43e"/>
    <w:p>
      <w:pPr>
        <w:pStyle w:val="Bibliography"/>
      </w:pPr>
      <w:r>
        <w:t xml:space="preserve">47.</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5"/>
    <w:bookmarkStart w:id="137" w:name="ref-eklofSecondaryExtinctionsFood2013"/>
    <w:p>
      <w:pPr>
        <w:pStyle w:val="Bibliography"/>
      </w:pPr>
      <w:r>
        <w:t xml:space="preserve">48.</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7"/>
    <w:bookmarkStart w:id="139" w:name="Xb1d8b6b275822be1886d160023287af73cce966"/>
    <w:p>
      <w:pPr>
        <w:pStyle w:val="Bibliography"/>
      </w:pPr>
      <w:r>
        <w:t xml:space="preserve">49.</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9"/>
    <w:bookmarkStart w:id="141" w:name="ref-poelenGlobalBioticInteractions2014"/>
    <w:p>
      <w:pPr>
        <w:pStyle w:val="Bibliography"/>
      </w:pPr>
      <w:r>
        <w:t xml:space="preserve">50.</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1"/>
    <w:bookmarkStart w:id="143" w:name="ref-poisotMangalMakingEcological2016"/>
    <w:p>
      <w:pPr>
        <w:pStyle w:val="Bibliography"/>
      </w:pPr>
      <w:r>
        <w:t xml:space="preserve">51.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3"/>
    <w:bookmarkStart w:id="145" w:name="ref-grayJoiningDotsAutomated2015"/>
    <w:p>
      <w:pPr>
        <w:pStyle w:val="Bibliography"/>
      </w:pPr>
      <w:r>
        <w:t xml:space="preserve">52.</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54.</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49"/>
    <w:bookmarkStart w:id="151" w:name="X2cae758a57fb7b500a696ee22ace3d032a23796"/>
    <w:p>
      <w:pPr>
        <w:pStyle w:val="Bibliography"/>
      </w:pPr>
      <w:r>
        <w:t xml:space="preserve">55.</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1"/>
    <w:bookmarkStart w:id="153" w:name="ref-beckermanForagingBiologyPredicts2006"/>
    <w:p>
      <w:pPr>
        <w:pStyle w:val="Bibliography"/>
      </w:pPr>
      <w:r>
        <w:t xml:space="preserve">56.</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3"/>
    <w:bookmarkStart w:id="155" w:name="ref-petcheySizeForagingFood2008"/>
    <w:p>
      <w:pPr>
        <w:pStyle w:val="Bibliography"/>
      </w:pPr>
      <w:r>
        <w:t xml:space="preserve">57.</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5"/>
    <w:bookmarkStart w:id="157" w:name="ref-woottonModularTheoryTrophic2023"/>
    <w:p>
      <w:pPr>
        <w:pStyle w:val="Bibliography"/>
      </w:pPr>
      <w:r>
        <w:t xml:space="preserve">58.</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57"/>
    <w:bookmarkStart w:id="159" w:name="X5c34a2e64ad17132523b815ad511dc881809961"/>
    <w:p>
      <w:pPr>
        <w:pStyle w:val="Bibliography"/>
      </w:pPr>
      <w:r>
        <w:t xml:space="preserve">59.</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58">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59"/>
    <w:bookmarkStart w:id="161" w:name="ref-allesinaFoodWebModels2009"/>
    <w:p>
      <w:pPr>
        <w:pStyle w:val="Bibliography"/>
      </w:pPr>
      <w:r>
        <w:t xml:space="preserve">60.</w:t>
      </w:r>
      <w:r>
        <w:t xml:space="preserve"> </w:t>
      </w:r>
      <w:r>
        <w:t xml:space="preserve">	</w:t>
      </w:r>
      <w:r>
        <w:t xml:space="preserve">Allesina, S. and Pascual, M. (2009)</w:t>
      </w:r>
      <w:r>
        <w:t xml:space="preserve"> </w:t>
      </w:r>
      <w:hyperlink r:id="rId160">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1"/>
    <w:bookmarkStart w:id="163" w:name="X88f1d6f63b0836bbf1d6ae3f885d8fb9f247ff3"/>
    <w:p>
      <w:pPr>
        <w:pStyle w:val="Bibliography"/>
      </w:pPr>
      <w:r>
        <w:t xml:space="preserve">61.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3"/>
    <w:bookmarkStart w:id="165" w:name="ref-williamsSuccessItsLimits2008"/>
    <w:p>
      <w:pPr>
        <w:pStyle w:val="Bibliography"/>
      </w:pPr>
      <w:r>
        <w:t xml:space="preserve">62.</w:t>
      </w:r>
      <w:r>
        <w:t xml:space="preserve"> </w:t>
      </w:r>
      <w:r>
        <w:t xml:space="preserve">	</w:t>
      </w:r>
      <w:r>
        <w:t xml:space="preserve">Williams, R.J. and Martinez, N.D. (2008)</w:t>
      </w:r>
      <w:r>
        <w:t xml:space="preserve"> </w:t>
      </w:r>
      <w:hyperlink r:id="rId16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5"/>
    <w:bookmarkStart w:id="167" w:name="ref-strydomRoadmapPredictingSpecies2021"/>
    <w:p>
      <w:pPr>
        <w:pStyle w:val="Bibliography"/>
      </w:pPr>
      <w:r>
        <w:t xml:space="preserve">63.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6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ref-hutchinsonSeeingForestTrees2019"/>
    <w:p>
      <w:pPr>
        <w:pStyle w:val="Bibliography"/>
      </w:pPr>
      <w:r>
        <w:t xml:space="preserve">69.</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7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79"/>
    <w:bookmarkStart w:id="180" w:name="ref-estayEditorialPatternsProcesses2023"/>
    <w:p>
      <w:pPr>
        <w:pStyle w:val="Bibliography"/>
      </w:pPr>
      <w:r>
        <w:t xml:space="preserve">70.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0"/>
    <w:bookmarkStart w:id="182" w:name="ref-rooneyLandscapeTheoryFood2008"/>
    <w:p>
      <w:pPr>
        <w:pStyle w:val="Bibliography"/>
      </w:pPr>
      <w:r>
        <w:t xml:space="preserve">71.</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8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82"/>
    <w:bookmarkStart w:id="184" w:name="ref-brimacombeApplyingMethodIts2024"/>
    <w:p>
      <w:pPr>
        <w:pStyle w:val="Bibliography"/>
      </w:pPr>
      <w:r>
        <w:t xml:space="preserve">72.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8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84"/>
    <w:bookmarkStart w:id="186" w:name="X0cd8b1b2c315f3e3186e0dbbf2fc454fbc2ad9d"/>
    <w:p>
      <w:pPr>
        <w:pStyle w:val="Bibliography"/>
      </w:pPr>
      <w:r>
        <w:t xml:space="preserve">73.</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8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86"/>
    <w:bookmarkStart w:id="188" w:name="Xb74550f9527590a6ed7b0cf8bbc830e274eb739"/>
    <w:p>
      <w:pPr>
        <w:pStyle w:val="Bibliography"/>
      </w:pPr>
      <w:r>
        <w:t xml:space="preserve">74.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8"/>
    <w:bookmarkStart w:id="190" w:name="ref-delmasSimulationsBiomassDynamics2017"/>
    <w:p>
      <w:pPr>
        <w:pStyle w:val="Bibliography"/>
      </w:pPr>
      <w:r>
        <w:t xml:space="preserve">75.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0"/>
    <w:bookmarkStart w:id="192" w:name="Xe3e49d362cfe4dc69cf94913d43d3c00a90a030"/>
    <w:p>
      <w:pPr>
        <w:pStyle w:val="Bibliography"/>
      </w:pPr>
      <w:r>
        <w:t xml:space="preserve">76.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2"/>
    <w:bookmarkStart w:id="194" w:name="ref-petcheyFitEfficiencyBiology2011"/>
    <w:p>
      <w:pPr>
        <w:pStyle w:val="Bibliography"/>
      </w:pPr>
      <w:r>
        <w:t xml:space="preserve">77.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9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94"/>
    <w:bookmarkStart w:id="196" w:name="ref-berlowGoldilocksFactorFood2008"/>
    <w:p>
      <w:pPr>
        <w:pStyle w:val="Bibliography"/>
      </w:pPr>
      <w:r>
        <w:t xml:space="preserve">78.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9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96"/>
    <w:bookmarkStart w:id="198" w:name="ref-terryFindingMissingLinks2020"/>
    <w:p>
      <w:pPr>
        <w:pStyle w:val="Bibliography"/>
      </w:pPr>
      <w:r>
        <w:t xml:space="preserve">79.</w:t>
      </w:r>
      <w:r>
        <w:t xml:space="preserve"> </w:t>
      </w:r>
      <w:r>
        <w:t xml:space="preserve">	</w:t>
      </w:r>
      <w:r>
        <w:t xml:space="preserve">Terry, J.C.D. and Lewis, O.T. (2020)</w:t>
      </w:r>
      <w:r>
        <w:t xml:space="preserve"> </w:t>
      </w:r>
      <w:hyperlink r:id="rId19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8"/>
    <w:bookmarkEnd w:id="199"/>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3"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5"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78"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8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1"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3"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193"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5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2"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4" Target="https://doi.org/10.1073/pnas.0710672105" TargetMode="External" /><Relationship Type="http://schemas.openxmlformats.org/officeDocument/2006/relationships/hyperlink" Id="rId195"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0" Target="https://doi.org/10.1098/rspb.2009.0413" TargetMode="External" /><Relationship Type="http://schemas.openxmlformats.org/officeDocument/2006/relationships/hyperlink" Id="rId166"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78" Target="https://doi.org/10.1111/1365-2435.13237" TargetMode="External" /><Relationship Type="http://schemas.openxmlformats.org/officeDocument/2006/relationships/hyperlink" Id="rId156"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6"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8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32"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4"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1" Target="https://doi.org/10.1111/j.1461-0248.2008.01193.x" TargetMode="External" /><Relationship Type="http://schemas.openxmlformats.org/officeDocument/2006/relationships/hyperlink" Id="rId160"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18" Target="https://doi.org/10.1146/annurev-ecolsys-110218-024908" TargetMode="External" /><Relationship Type="http://schemas.openxmlformats.org/officeDocument/2006/relationships/hyperlink" Id="rId183"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2024-09-25T13:29:25Z</dcterms:created>
  <dcterms:modified xsi:type="dcterms:W3CDTF">2024-09-25T13:29:25Z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